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9C" w:rsidRDefault="00AF659C" w:rsidP="000D127B">
      <w:pPr>
        <w:pStyle w:val="Bezmezer"/>
        <w:rPr>
          <w:sz w:val="48"/>
          <w:szCs w:val="48"/>
          <w:lang w:eastAsia="cs-CZ"/>
        </w:rPr>
      </w:pPr>
      <w:r>
        <w:rPr>
          <w:sz w:val="48"/>
          <w:szCs w:val="48"/>
          <w:lang w:eastAsia="cs-CZ"/>
        </w:rPr>
        <w:t xml:space="preserve">Nová zelená úsporám </w:t>
      </w:r>
      <w:r w:rsidR="00517BC6">
        <w:rPr>
          <w:sz w:val="48"/>
          <w:szCs w:val="48"/>
          <w:lang w:eastAsia="cs-CZ"/>
        </w:rPr>
        <w:t xml:space="preserve">– změny </w:t>
      </w:r>
      <w:bookmarkStart w:id="0" w:name="_GoBack"/>
      <w:bookmarkEnd w:id="0"/>
      <w:r>
        <w:rPr>
          <w:lang w:eastAsia="cs-CZ"/>
        </w:rPr>
        <w:t>(</w:t>
      </w:r>
      <w:r w:rsidR="00C87DCA">
        <w:rPr>
          <w:lang w:eastAsia="cs-CZ"/>
        </w:rPr>
        <w:t>web</w:t>
      </w:r>
      <w:r>
        <w:rPr>
          <w:lang w:eastAsia="cs-CZ"/>
        </w:rPr>
        <w:t>: sfzp.cz</w:t>
      </w:r>
      <w:r>
        <w:rPr>
          <w:sz w:val="48"/>
          <w:szCs w:val="48"/>
          <w:lang w:eastAsia="cs-CZ"/>
        </w:rPr>
        <w:t xml:space="preserve"> </w:t>
      </w:r>
      <w:proofErr w:type="gramStart"/>
      <w:r w:rsidRPr="00AF659C">
        <w:rPr>
          <w:lang w:eastAsia="cs-CZ"/>
        </w:rPr>
        <w:t>27.4.2022</w:t>
      </w:r>
      <w:proofErr w:type="gramEnd"/>
      <w:r w:rsidRPr="00AF659C">
        <w:rPr>
          <w:lang w:eastAsia="cs-CZ"/>
        </w:rPr>
        <w:t>)</w:t>
      </w:r>
    </w:p>
    <w:p w:rsidR="00AF659C" w:rsidRPr="00AF659C" w:rsidRDefault="00AF659C" w:rsidP="000D127B">
      <w:pPr>
        <w:pStyle w:val="Bezmezer"/>
        <w:rPr>
          <w:sz w:val="48"/>
          <w:szCs w:val="48"/>
          <w:lang w:eastAsia="cs-CZ"/>
        </w:rPr>
      </w:pPr>
      <w:r w:rsidRPr="00AF659C">
        <w:rPr>
          <w:sz w:val="48"/>
          <w:szCs w:val="48"/>
          <w:lang w:eastAsia="cs-CZ"/>
        </w:rPr>
        <w:t xml:space="preserve">Ostatní domácnosti </w:t>
      </w:r>
    </w:p>
    <w:p w:rsidR="00AF659C" w:rsidRPr="00AF659C" w:rsidRDefault="00AF659C" w:rsidP="000D127B">
      <w:pPr>
        <w:pStyle w:val="Bezmezer"/>
        <w:rPr>
          <w:lang w:eastAsia="cs-CZ"/>
        </w:rPr>
      </w:pPr>
      <w:r w:rsidRPr="00AF659C">
        <w:rPr>
          <w:lang w:eastAsia="cs-CZ"/>
        </w:rPr>
        <w:t>Vlastníci a spoluvlastníci nemovitostí, kteří nespadají mezi domácnosti s nižšími příjmy, mohou využít kotlíkovou dotaci z Nové zelené úsporám. Výhodou je, že v rámci jedné žádosti mohou požádat i o další podporu jako třeba na zateplení nebo využití dešťové vody. Díky komplexnímu projektu navíc získají finanční bonus.</w:t>
      </w:r>
    </w:p>
    <w:p w:rsidR="00AF659C" w:rsidRPr="000D127B" w:rsidRDefault="00AF659C" w:rsidP="000D127B">
      <w:pPr>
        <w:pStyle w:val="Bezmezer"/>
        <w:rPr>
          <w:b/>
          <w:bCs/>
          <w:color w:val="00B050"/>
          <w:sz w:val="28"/>
          <w:szCs w:val="28"/>
          <w:lang w:eastAsia="cs-CZ"/>
        </w:rPr>
      </w:pPr>
      <w:r w:rsidRPr="000D127B">
        <w:rPr>
          <w:b/>
          <w:bCs/>
          <w:color w:val="00B050"/>
          <w:sz w:val="28"/>
          <w:szCs w:val="28"/>
          <w:lang w:eastAsia="cs-CZ"/>
        </w:rPr>
        <w:t>Kdo může o dotaci žádat</w:t>
      </w:r>
    </w:p>
    <w:p w:rsidR="00AF659C" w:rsidRPr="00AF659C" w:rsidRDefault="00AF659C" w:rsidP="000D127B">
      <w:pPr>
        <w:pStyle w:val="Bezmezer"/>
        <w:rPr>
          <w:lang w:eastAsia="cs-CZ"/>
        </w:rPr>
      </w:pPr>
      <w:r w:rsidRPr="000D127B">
        <w:rPr>
          <w:b/>
          <w:lang w:eastAsia="cs-CZ"/>
        </w:rPr>
        <w:t>vlastník nebo spoluvlastník nemovitosti</w:t>
      </w:r>
      <w:r w:rsidRPr="00AF659C">
        <w:rPr>
          <w:lang w:eastAsia="cs-CZ"/>
        </w:rPr>
        <w:t xml:space="preserve"> (rodinného domu, bytové jednotky nebo trvale obývaného rekreačního objektu)</w:t>
      </w:r>
    </w:p>
    <w:p w:rsidR="00AF659C" w:rsidRPr="000D127B" w:rsidRDefault="00AF659C" w:rsidP="000D127B">
      <w:pPr>
        <w:pStyle w:val="Bezmezer"/>
        <w:rPr>
          <w:b/>
          <w:bCs/>
          <w:color w:val="00B050"/>
          <w:sz w:val="28"/>
          <w:szCs w:val="28"/>
          <w:lang w:eastAsia="cs-CZ"/>
        </w:rPr>
      </w:pPr>
      <w:r w:rsidRPr="000D127B">
        <w:rPr>
          <w:b/>
          <w:bCs/>
          <w:color w:val="00B050"/>
          <w:sz w:val="28"/>
          <w:szCs w:val="28"/>
          <w:lang w:eastAsia="cs-CZ"/>
        </w:rPr>
        <w:t>Na co lze dotaci čerpat</w:t>
      </w:r>
    </w:p>
    <w:p w:rsidR="00AF659C" w:rsidRPr="00AF659C" w:rsidRDefault="000D127B" w:rsidP="000D127B">
      <w:pPr>
        <w:pStyle w:val="Bezmezer"/>
        <w:rPr>
          <w:lang w:eastAsia="cs-CZ"/>
        </w:rPr>
      </w:pPr>
      <w:r>
        <w:rPr>
          <w:b/>
          <w:color w:val="00B050"/>
          <w:lang w:eastAsia="cs-CZ"/>
        </w:rPr>
        <w:t>*</w:t>
      </w:r>
      <w:r w:rsidRPr="000D127B">
        <w:rPr>
          <w:b/>
          <w:lang w:eastAsia="cs-CZ"/>
        </w:rPr>
        <w:t>n</w:t>
      </w:r>
      <w:r w:rsidR="00AF659C" w:rsidRPr="000D127B">
        <w:rPr>
          <w:b/>
          <w:lang w:eastAsia="cs-CZ"/>
        </w:rPr>
        <w:t>a výměnu kotle na pevná paliva nesplňujícího 3., 4. a 5. emisní třídu</w:t>
      </w:r>
      <w:r w:rsidR="00AF659C" w:rsidRPr="00AF659C">
        <w:rPr>
          <w:lang w:eastAsia="cs-CZ"/>
        </w:rPr>
        <w:t xml:space="preserve"> za nový ekologický zdroj</w:t>
      </w:r>
    </w:p>
    <w:p w:rsidR="00AF659C" w:rsidRPr="00AF659C" w:rsidRDefault="000D127B" w:rsidP="000D127B">
      <w:pPr>
        <w:pStyle w:val="Bezmezer"/>
        <w:rPr>
          <w:lang w:eastAsia="cs-CZ"/>
        </w:rPr>
      </w:pPr>
      <w:r>
        <w:rPr>
          <w:b/>
          <w:color w:val="00B050"/>
          <w:lang w:eastAsia="cs-CZ"/>
        </w:rPr>
        <w:t>*</w:t>
      </w:r>
      <w:r w:rsidR="00AF659C" w:rsidRPr="000D127B">
        <w:rPr>
          <w:b/>
          <w:lang w:eastAsia="cs-CZ"/>
        </w:rPr>
        <w:t>na výměnu lokálních topidel sloužících jako hlavní zdroj tepla pro vytápění</w:t>
      </w:r>
    </w:p>
    <w:p w:rsidR="00AF659C" w:rsidRPr="00AF659C" w:rsidRDefault="000D127B" w:rsidP="000D127B">
      <w:pPr>
        <w:pStyle w:val="Bezmezer"/>
        <w:rPr>
          <w:lang w:eastAsia="cs-CZ"/>
        </w:rPr>
      </w:pPr>
      <w:r>
        <w:rPr>
          <w:b/>
          <w:color w:val="00B050"/>
          <w:lang w:eastAsia="cs-CZ"/>
        </w:rPr>
        <w:t>*</w:t>
      </w:r>
      <w:r w:rsidR="00AF659C" w:rsidRPr="000D127B">
        <w:rPr>
          <w:b/>
          <w:lang w:eastAsia="cs-CZ"/>
        </w:rPr>
        <w:t>na výměnu elektrického vytápění za systém s tepelným čerpadlem s elektrickým pohonem</w:t>
      </w:r>
    </w:p>
    <w:p w:rsidR="00AF659C" w:rsidRPr="00AF659C" w:rsidRDefault="000D127B" w:rsidP="000D127B">
      <w:pPr>
        <w:pStyle w:val="Bezmezer"/>
        <w:rPr>
          <w:lang w:eastAsia="cs-CZ"/>
        </w:rPr>
      </w:pPr>
      <w:r>
        <w:rPr>
          <w:b/>
          <w:color w:val="00B050"/>
          <w:lang w:eastAsia="cs-CZ"/>
        </w:rPr>
        <w:t>*</w:t>
      </w:r>
      <w:r w:rsidR="00AF659C" w:rsidRPr="000D127B">
        <w:rPr>
          <w:b/>
          <w:lang w:eastAsia="cs-CZ"/>
        </w:rPr>
        <w:t>výměnu plynového vytápění za plynové tepelné čerpadlo nebo jednotku kombinované výroby elektřiny a tepla využívající jako palivo zemní plyn</w:t>
      </w:r>
      <w:r w:rsidR="00AF659C" w:rsidRPr="00AF659C">
        <w:rPr>
          <w:lang w:eastAsia="cs-CZ"/>
        </w:rPr>
        <w:t xml:space="preserve"> </w:t>
      </w:r>
      <w:r w:rsidR="00AF659C" w:rsidRPr="00AF659C">
        <w:rPr>
          <w:i/>
          <w:iCs/>
          <w:lang w:eastAsia="cs-CZ"/>
        </w:rPr>
        <w:t>(pouze u žádostí podaných do 30. dubna 2022, a to za předpokladu, že opatření bylo zrealizováno nebo uhrazeno alespoň částečně formou záloh v termínu od 1. 1. 2021 do 30. 4. 2022)</w:t>
      </w:r>
    </w:p>
    <w:p w:rsidR="00AF659C" w:rsidRPr="00AF659C" w:rsidRDefault="00AF659C" w:rsidP="000D127B">
      <w:pPr>
        <w:pStyle w:val="Bezmezer"/>
        <w:rPr>
          <w:lang w:eastAsia="cs-CZ"/>
        </w:rPr>
      </w:pPr>
      <w:r w:rsidRPr="00AF659C">
        <w:rPr>
          <w:b/>
          <w:bCs/>
          <w:lang w:eastAsia="cs-CZ"/>
        </w:rPr>
        <w:t>Podporované typy zdrojů:</w:t>
      </w:r>
    </w:p>
    <w:p w:rsidR="00AF659C" w:rsidRPr="00AF659C" w:rsidRDefault="00AF659C" w:rsidP="000D127B">
      <w:pPr>
        <w:pStyle w:val="Bezmezer"/>
        <w:rPr>
          <w:lang w:eastAsia="cs-CZ"/>
        </w:rPr>
      </w:pPr>
      <w:r w:rsidRPr="00AF659C">
        <w:rPr>
          <w:b/>
          <w:bCs/>
          <w:lang w:eastAsia="cs-CZ"/>
        </w:rPr>
        <w:t>kotle na biomasu vč. akumulační nádrže / se samočinnou dodávkou paliva</w:t>
      </w:r>
      <w:r w:rsidRPr="00AF659C">
        <w:rPr>
          <w:lang w:eastAsia="cs-CZ"/>
        </w:rPr>
        <w:t xml:space="preserve"> (min. energetická třída A+, pro kotle s ruční dodávkou paliva povinná instalace akumulační nádrže)</w:t>
      </w:r>
    </w:p>
    <w:p w:rsidR="00AF659C" w:rsidRPr="00AF659C" w:rsidRDefault="00AF659C" w:rsidP="000D127B">
      <w:pPr>
        <w:pStyle w:val="Bezmezer"/>
        <w:rPr>
          <w:lang w:eastAsia="cs-CZ"/>
        </w:rPr>
      </w:pPr>
      <w:r w:rsidRPr="00AF659C">
        <w:rPr>
          <w:b/>
          <w:bCs/>
          <w:lang w:eastAsia="cs-CZ"/>
        </w:rPr>
        <w:t xml:space="preserve">lokální zdroje na biomasu </w:t>
      </w:r>
      <w:r w:rsidRPr="00AF659C">
        <w:rPr>
          <w:lang w:eastAsia="cs-CZ"/>
        </w:rPr>
        <w:t>(sálavé a teplovzdušné: třída A+, s teplovodním výměníkem: třída A++)</w:t>
      </w:r>
    </w:p>
    <w:p w:rsidR="00AF659C" w:rsidRPr="00AF659C" w:rsidRDefault="00AF659C" w:rsidP="000D127B">
      <w:pPr>
        <w:pStyle w:val="Bezmezer"/>
        <w:rPr>
          <w:lang w:eastAsia="cs-CZ"/>
        </w:rPr>
      </w:pPr>
      <w:r w:rsidRPr="00AF659C">
        <w:rPr>
          <w:b/>
          <w:bCs/>
          <w:lang w:eastAsia="cs-CZ"/>
        </w:rPr>
        <w:t xml:space="preserve">tepelná čerpadla pro teplovodní systém vytápění </w:t>
      </w:r>
      <w:r w:rsidRPr="00AF659C">
        <w:rPr>
          <w:lang w:eastAsia="cs-CZ"/>
        </w:rPr>
        <w:t>(min. energetická třída A++)</w:t>
      </w:r>
    </w:p>
    <w:p w:rsidR="00AF659C" w:rsidRPr="00AF659C" w:rsidRDefault="00AF659C" w:rsidP="000D127B">
      <w:pPr>
        <w:pStyle w:val="Bezmezer"/>
        <w:rPr>
          <w:lang w:eastAsia="cs-CZ"/>
        </w:rPr>
      </w:pPr>
      <w:r w:rsidRPr="00AF659C">
        <w:rPr>
          <w:b/>
          <w:bCs/>
          <w:lang w:eastAsia="cs-CZ"/>
        </w:rPr>
        <w:t>tepelná čerpadla vzduch-vzduch</w:t>
      </w:r>
      <w:r w:rsidRPr="00AF659C">
        <w:rPr>
          <w:lang w:eastAsia="cs-CZ"/>
        </w:rPr>
        <w:t xml:space="preserve"> (min. energetická třída v režimu vytápění A++)</w:t>
      </w:r>
    </w:p>
    <w:p w:rsidR="00AF659C" w:rsidRPr="00AF659C" w:rsidRDefault="00AF659C" w:rsidP="000D127B">
      <w:pPr>
        <w:pStyle w:val="Bezmezer"/>
        <w:rPr>
          <w:lang w:eastAsia="cs-CZ"/>
        </w:rPr>
      </w:pPr>
      <w:r w:rsidRPr="00AF659C">
        <w:rPr>
          <w:b/>
          <w:bCs/>
          <w:lang w:eastAsia="cs-CZ"/>
        </w:rPr>
        <w:t xml:space="preserve">tepelná čerpadla pro teplovodní systém vytápění s přípravou teplé vody připojené k FV systému </w:t>
      </w:r>
    </w:p>
    <w:p w:rsidR="00AF659C" w:rsidRPr="00517BC6" w:rsidRDefault="00AF659C" w:rsidP="000D127B">
      <w:pPr>
        <w:pStyle w:val="Bezmezer"/>
        <w:rPr>
          <w:color w:val="FF0000"/>
          <w:lang w:eastAsia="cs-CZ"/>
        </w:rPr>
      </w:pPr>
      <w:r w:rsidRPr="00517BC6">
        <w:rPr>
          <w:b/>
          <w:bCs/>
          <w:color w:val="FF0000"/>
          <w:lang w:eastAsia="cs-CZ"/>
        </w:rPr>
        <w:t>plynové kondenzační kotle</w:t>
      </w:r>
      <w:r w:rsidRPr="00517BC6">
        <w:rPr>
          <w:color w:val="FF0000"/>
          <w:lang w:eastAsia="cs-CZ"/>
        </w:rPr>
        <w:t xml:space="preserve"> (min. energetická třída A) – </w:t>
      </w:r>
      <w:r w:rsidRPr="00517BC6">
        <w:rPr>
          <w:i/>
          <w:iCs/>
          <w:color w:val="FF0000"/>
          <w:lang w:eastAsia="cs-CZ"/>
        </w:rPr>
        <w:t>pouze pro žádosti podané a zrealizované či uhrazené do 30. 4. 2022</w:t>
      </w:r>
    </w:p>
    <w:p w:rsidR="00AF659C" w:rsidRPr="00AF659C" w:rsidRDefault="00AF659C" w:rsidP="000D127B">
      <w:pPr>
        <w:pStyle w:val="Bezmezer"/>
        <w:rPr>
          <w:lang w:eastAsia="cs-CZ"/>
        </w:rPr>
      </w:pPr>
      <w:r w:rsidRPr="00AF659C">
        <w:rPr>
          <w:b/>
          <w:bCs/>
          <w:lang w:eastAsia="cs-CZ"/>
        </w:rPr>
        <w:t>napojení na soustavu zásobování teplem</w:t>
      </w:r>
    </w:p>
    <w:p w:rsidR="00AF659C" w:rsidRPr="00AF659C" w:rsidRDefault="00AF659C" w:rsidP="000D127B">
      <w:pPr>
        <w:pStyle w:val="Bezmezer"/>
        <w:rPr>
          <w:lang w:eastAsia="cs-CZ"/>
        </w:rPr>
      </w:pPr>
      <w:r w:rsidRPr="00AF659C">
        <w:rPr>
          <w:b/>
          <w:bCs/>
          <w:lang w:eastAsia="cs-CZ"/>
        </w:rPr>
        <w:t>kombinovaná výroba elektřiny a tepla</w:t>
      </w:r>
      <w:r w:rsidRPr="00AF659C">
        <w:rPr>
          <w:lang w:eastAsia="cs-CZ"/>
        </w:rPr>
        <w:t xml:space="preserve"> – pouze pro bytové domy</w:t>
      </w:r>
    </w:p>
    <w:p w:rsidR="00AF659C" w:rsidRDefault="00AF659C" w:rsidP="000D127B">
      <w:pPr>
        <w:pStyle w:val="Bezmezer"/>
        <w:rPr>
          <w:lang w:eastAsia="cs-CZ"/>
        </w:rPr>
      </w:pPr>
      <w:r w:rsidRPr="00AF659C">
        <w:rPr>
          <w:lang w:eastAsia="cs-CZ"/>
        </w:rPr>
        <w:t xml:space="preserve">Žadatelé mají k dispozici </w:t>
      </w:r>
      <w:hyperlink r:id="rId5" w:history="1">
        <w:r w:rsidRPr="00AF659C">
          <w:rPr>
            <w:b/>
            <w:bCs/>
            <w:color w:val="0000FF"/>
            <w:u w:val="single"/>
            <w:lang w:eastAsia="cs-CZ"/>
          </w:rPr>
          <w:t>seznam výrobků a technologií &gt;</w:t>
        </w:r>
      </w:hyperlink>
      <w:r w:rsidRPr="00AF659C">
        <w:rPr>
          <w:lang w:eastAsia="cs-CZ"/>
        </w:rPr>
        <w:t>, ze kterého mohou vybírat nový zdroj tepla na vytápění. Seznam není povinný, ale pokud žadatel zvolí jiný zdroj, musí k žádosti předložit dokumenty, např. certifikát nebo technický list, o stanovených parametrech, které prokáží, že splňuje parametry programu.</w:t>
      </w:r>
    </w:p>
    <w:p w:rsidR="00AF659C" w:rsidRPr="000D127B" w:rsidRDefault="00AF659C" w:rsidP="000D127B">
      <w:pPr>
        <w:pStyle w:val="Bezmezer"/>
        <w:rPr>
          <w:b/>
          <w:color w:val="FF0000"/>
          <w:lang w:eastAsia="cs-CZ"/>
        </w:rPr>
      </w:pPr>
      <w:r w:rsidRPr="000D127B">
        <w:rPr>
          <w:b/>
          <w:color w:val="FF0000"/>
          <w:lang w:eastAsia="cs-CZ"/>
        </w:rPr>
        <w:t>Změny v podpoře plynových zařízení od 1. dubna 2022</w:t>
      </w:r>
    </w:p>
    <w:p w:rsidR="00AF659C" w:rsidRPr="00AF659C" w:rsidRDefault="00517BC6" w:rsidP="000D127B">
      <w:pPr>
        <w:pStyle w:val="Bezmez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w:t>
      </w:r>
      <w:r w:rsidR="00AF659C" w:rsidRPr="00AF659C">
        <w:rPr>
          <w:rFonts w:ascii="Times New Roman" w:eastAsia="Times New Roman" w:hAnsi="Times New Roman" w:cs="Times New Roman"/>
          <w:sz w:val="24"/>
          <w:szCs w:val="24"/>
          <w:lang w:eastAsia="cs-CZ"/>
        </w:rPr>
        <w:t>nstalace nového plynového kondenzačního kotle nebo tepelného čerpadla s plynovým pohonem (u bytových domů navíc kombinovaná výroba elektřiny a tepla využívající jako palivo zemní plyn a hybridní tepelné čerpadlo) bude podpořena pouze u žádostí podaných do 30. dubna 2022, a to za předpokladu, že opatření bylo zrealizováno nebo uhrazeno alespoň částečně formou záloh v termínu od 1. 1. 2021 do 30. 4. 2022.</w:t>
      </w:r>
    </w:p>
    <w:p w:rsidR="00AF659C" w:rsidRPr="00AF659C" w:rsidRDefault="00AF659C" w:rsidP="000D127B">
      <w:pPr>
        <w:pStyle w:val="Bezmezer"/>
        <w:rPr>
          <w:rFonts w:ascii="Times New Roman" w:eastAsia="Times New Roman" w:hAnsi="Times New Roman" w:cs="Times New Roman"/>
          <w:sz w:val="24"/>
          <w:szCs w:val="24"/>
          <w:lang w:eastAsia="cs-CZ"/>
        </w:rPr>
      </w:pPr>
      <w:r w:rsidRPr="00AF659C">
        <w:rPr>
          <w:rFonts w:ascii="Times New Roman" w:eastAsia="Times New Roman" w:hAnsi="Times New Roman" w:cs="Times New Roman"/>
          <w:sz w:val="24"/>
          <w:szCs w:val="24"/>
          <w:lang w:eastAsia="cs-CZ"/>
        </w:rPr>
        <w:t>U bytových domů skončí 30. dubna 2022 podpora výměn stávajících plynových zařízení.</w:t>
      </w:r>
    </w:p>
    <w:p w:rsidR="00AF659C" w:rsidRPr="00AF659C" w:rsidRDefault="00AF659C" w:rsidP="000D127B">
      <w:pPr>
        <w:pStyle w:val="Bezmezer"/>
        <w:rPr>
          <w:rFonts w:ascii="Times New Roman" w:eastAsia="Times New Roman" w:hAnsi="Times New Roman" w:cs="Times New Roman"/>
          <w:sz w:val="24"/>
          <w:szCs w:val="24"/>
          <w:lang w:eastAsia="cs-CZ"/>
        </w:rPr>
      </w:pPr>
      <w:r w:rsidRPr="00AF659C">
        <w:rPr>
          <w:rFonts w:ascii="Times New Roman" w:eastAsia="Times New Roman" w:hAnsi="Times New Roman" w:cs="Times New Roman"/>
          <w:sz w:val="24"/>
          <w:szCs w:val="24"/>
          <w:lang w:eastAsia="cs-CZ"/>
        </w:rPr>
        <w:t>V oblasti výstavby nových nízkoenergetických budov budou od 1. července 2022 vyjmuty z podpory novostavby využívající pro vytápění nebo ohřev vody zdroj určený ke spalování fosilních paliv, včetně zemního plynu, LPG, olejů, uhlí, uhelných briket, koksu apod. Omezení se ale nevztahuje na připojení ke stávajícím soustavám zásobování teplem, která vyžívají uvedená paliva.</w:t>
      </w:r>
    </w:p>
    <w:p w:rsidR="00AF659C" w:rsidRPr="00AF659C" w:rsidRDefault="00AF659C" w:rsidP="000D127B">
      <w:pPr>
        <w:pStyle w:val="Bezmezer"/>
        <w:rPr>
          <w:lang w:eastAsia="cs-CZ"/>
        </w:rPr>
      </w:pPr>
      <w:r w:rsidRPr="00AF659C">
        <w:rPr>
          <w:lang w:eastAsia="cs-CZ"/>
        </w:rPr>
        <w:t>Změny se netýkají žádostí podaných do 31. března 2022, pro něž platí dosavadní podmínky platné do tohoto data.</w:t>
      </w:r>
    </w:p>
    <w:p w:rsidR="00B001F1" w:rsidRPr="000D127B" w:rsidRDefault="00B001F1" w:rsidP="000D127B">
      <w:pPr>
        <w:pStyle w:val="Bezmezer"/>
        <w:rPr>
          <w:rFonts w:cstheme="minorHAnsi"/>
          <w:b/>
          <w:bCs/>
          <w:color w:val="00B050"/>
          <w:sz w:val="28"/>
          <w:szCs w:val="28"/>
          <w:lang w:eastAsia="cs-CZ"/>
        </w:rPr>
      </w:pPr>
      <w:r w:rsidRPr="000D127B">
        <w:rPr>
          <w:rFonts w:cstheme="minorHAnsi"/>
          <w:b/>
          <w:bCs/>
          <w:color w:val="00B050"/>
          <w:sz w:val="28"/>
          <w:szCs w:val="28"/>
          <w:lang w:eastAsia="cs-CZ"/>
        </w:rPr>
        <w:t>Kam se obrátit pro více informací</w:t>
      </w:r>
    </w:p>
    <w:p w:rsidR="00B001F1" w:rsidRPr="00B001F1" w:rsidRDefault="00B001F1" w:rsidP="000D127B">
      <w:pPr>
        <w:pStyle w:val="Bezmezer"/>
        <w:rPr>
          <w:rFonts w:ascii="Arial" w:eastAsia="Calibri" w:hAnsi="Arial" w:cs="Arial"/>
          <w:b/>
        </w:rPr>
      </w:pPr>
      <w:r w:rsidRPr="00B001F1">
        <w:rPr>
          <w:rFonts w:ascii="Arial" w:eastAsia="Calibri" w:hAnsi="Arial" w:cs="Arial"/>
          <w:b/>
        </w:rPr>
        <w:t>Kontaktní krajské pracoviště:</w:t>
      </w:r>
    </w:p>
    <w:p w:rsidR="00B001F1" w:rsidRPr="00B001F1" w:rsidRDefault="00B001F1" w:rsidP="000D127B">
      <w:pPr>
        <w:pStyle w:val="Bezmezer"/>
        <w:rPr>
          <w:rFonts w:ascii="Arial" w:eastAsia="Calibri" w:hAnsi="Arial" w:cs="Arial"/>
        </w:rPr>
      </w:pPr>
      <w:r w:rsidRPr="00B001F1">
        <w:rPr>
          <w:rFonts w:ascii="Arial" w:eastAsia="Calibri" w:hAnsi="Arial" w:cs="Arial"/>
        </w:rPr>
        <w:t>Horova 180/10. 500 02 Hradec Králové</w:t>
      </w:r>
    </w:p>
    <w:p w:rsidR="00B001F1" w:rsidRPr="00B001F1" w:rsidRDefault="00B001F1" w:rsidP="000D127B">
      <w:pPr>
        <w:pStyle w:val="Bezmezer"/>
      </w:pPr>
      <w:r w:rsidRPr="00B001F1">
        <w:t>Úřední hodiny: pondělí a středa 9.00 – 17.00, pátek 9.00 – 12.00</w:t>
      </w:r>
    </w:p>
    <w:p w:rsidR="00B001F1" w:rsidRPr="00B001F1" w:rsidRDefault="000D127B" w:rsidP="000D127B">
      <w:pPr>
        <w:pStyle w:val="Bezmezer"/>
        <w:rPr>
          <w:b/>
        </w:rPr>
      </w:pPr>
      <w:r>
        <w:rPr>
          <w:b/>
          <w:color w:val="00B050"/>
        </w:rPr>
        <w:t>Kontakty na pracovníky</w:t>
      </w:r>
      <w:r w:rsidR="00B001F1" w:rsidRPr="00B001F1">
        <w:rPr>
          <w:b/>
        </w:rPr>
        <w:t xml:space="preserve">: </w:t>
      </w:r>
    </w:p>
    <w:p w:rsidR="000759A3" w:rsidRDefault="00B001F1" w:rsidP="000D127B">
      <w:pPr>
        <w:spacing w:line="256" w:lineRule="auto"/>
      </w:pPr>
      <w:r w:rsidRPr="00B001F1">
        <w:rPr>
          <w:rFonts w:ascii="Arial" w:eastAsia="Calibri" w:hAnsi="Arial" w:cs="Arial"/>
        </w:rPr>
        <w:t>602 215 565, 724 779 086, 730 162 165, 725533 489, 724 795 269, 725</w:t>
      </w:r>
    </w:p>
    <w:sectPr w:rsidR="000759A3" w:rsidSect="0099664A">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C67E3"/>
    <w:multiLevelType w:val="multilevel"/>
    <w:tmpl w:val="59C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6B469F"/>
    <w:multiLevelType w:val="multilevel"/>
    <w:tmpl w:val="0D4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E7311"/>
    <w:multiLevelType w:val="multilevel"/>
    <w:tmpl w:val="2CD2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C0"/>
    <w:rsid w:val="000759A3"/>
    <w:rsid w:val="000D127B"/>
    <w:rsid w:val="00517BC6"/>
    <w:rsid w:val="0099664A"/>
    <w:rsid w:val="009E1DC0"/>
    <w:rsid w:val="00AF659C"/>
    <w:rsid w:val="00B001F1"/>
    <w:rsid w:val="00C87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734B3-2D2E-417F-8A74-BEFE2D32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AF659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AF659C"/>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F659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F659C"/>
    <w:rPr>
      <w:b/>
      <w:bCs/>
    </w:rPr>
  </w:style>
  <w:style w:type="paragraph" w:styleId="Textbubliny">
    <w:name w:val="Balloon Text"/>
    <w:basedOn w:val="Normln"/>
    <w:link w:val="TextbublinyChar"/>
    <w:uiPriority w:val="99"/>
    <w:semiHidden/>
    <w:unhideWhenUsed/>
    <w:rsid w:val="00AF659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659C"/>
    <w:rPr>
      <w:rFonts w:ascii="Segoe UI" w:hAnsi="Segoe UI" w:cs="Segoe UI"/>
      <w:sz w:val="18"/>
      <w:szCs w:val="18"/>
    </w:rPr>
  </w:style>
  <w:style w:type="paragraph" w:styleId="Bezmezer">
    <w:name w:val="No Spacing"/>
    <w:uiPriority w:val="1"/>
    <w:qFormat/>
    <w:rsid w:val="000D1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144330">
      <w:bodyDiv w:val="1"/>
      <w:marLeft w:val="0"/>
      <w:marRight w:val="0"/>
      <w:marTop w:val="0"/>
      <w:marBottom w:val="0"/>
      <w:divBdr>
        <w:top w:val="none" w:sz="0" w:space="0" w:color="auto"/>
        <w:left w:val="none" w:sz="0" w:space="0" w:color="auto"/>
        <w:bottom w:val="none" w:sz="0" w:space="0" w:color="auto"/>
        <w:right w:val="none" w:sz="0" w:space="0" w:color="auto"/>
      </w:divBdr>
      <w:divsChild>
        <w:div w:id="420373114">
          <w:marLeft w:val="0"/>
          <w:marRight w:val="0"/>
          <w:marTop w:val="0"/>
          <w:marBottom w:val="0"/>
          <w:divBdr>
            <w:top w:val="none" w:sz="0" w:space="0" w:color="auto"/>
            <w:left w:val="none" w:sz="0" w:space="0" w:color="auto"/>
            <w:bottom w:val="none" w:sz="0" w:space="0" w:color="auto"/>
            <w:right w:val="none" w:sz="0" w:space="0" w:color="auto"/>
          </w:divBdr>
          <w:divsChild>
            <w:div w:id="1464541634">
              <w:marLeft w:val="0"/>
              <w:marRight w:val="0"/>
              <w:marTop w:val="0"/>
              <w:marBottom w:val="0"/>
              <w:divBdr>
                <w:top w:val="none" w:sz="0" w:space="0" w:color="auto"/>
                <w:left w:val="none" w:sz="0" w:space="0" w:color="auto"/>
                <w:bottom w:val="none" w:sz="0" w:space="0" w:color="auto"/>
                <w:right w:val="none" w:sz="0" w:space="0" w:color="auto"/>
              </w:divBdr>
            </w:div>
          </w:divsChild>
        </w:div>
        <w:div w:id="143662815">
          <w:marLeft w:val="0"/>
          <w:marRight w:val="0"/>
          <w:marTop w:val="0"/>
          <w:marBottom w:val="0"/>
          <w:divBdr>
            <w:top w:val="none" w:sz="0" w:space="0" w:color="auto"/>
            <w:left w:val="none" w:sz="0" w:space="0" w:color="auto"/>
            <w:bottom w:val="none" w:sz="0" w:space="0" w:color="auto"/>
            <w:right w:val="none" w:sz="0" w:space="0" w:color="auto"/>
          </w:divBdr>
        </w:div>
      </w:divsChild>
    </w:div>
    <w:div w:id="1761365682">
      <w:bodyDiv w:val="1"/>
      <w:marLeft w:val="0"/>
      <w:marRight w:val="0"/>
      <w:marTop w:val="0"/>
      <w:marBottom w:val="0"/>
      <w:divBdr>
        <w:top w:val="none" w:sz="0" w:space="0" w:color="auto"/>
        <w:left w:val="none" w:sz="0" w:space="0" w:color="auto"/>
        <w:bottom w:val="none" w:sz="0" w:space="0" w:color="auto"/>
        <w:right w:val="none" w:sz="0" w:space="0" w:color="auto"/>
      </w:divBdr>
    </w:div>
    <w:div w:id="18299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vt.sfzp.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513</Words>
  <Characters>3028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Luňáková Ivana</dc:creator>
  <cp:keywords/>
  <dc:description/>
  <cp:lastModifiedBy>Luňáková Ivana</cp:lastModifiedBy>
  <cp:revision>5</cp:revision>
  <cp:lastPrinted>2022-04-28T06:17:00Z</cp:lastPrinted>
  <dcterms:created xsi:type="dcterms:W3CDTF">2022-04-27T06:37:00Z</dcterms:created>
  <dcterms:modified xsi:type="dcterms:W3CDTF">2022-04-28T06:17:00Z</dcterms:modified>
</cp:coreProperties>
</file>